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9C37" w14:textId="1E0C06C3" w:rsidR="00644159" w:rsidRDefault="00644159" w:rsidP="00644159">
      <w:pPr>
        <w:spacing w:after="0" w:line="240" w:lineRule="auto"/>
        <w:jc w:val="right"/>
        <w:rPr>
          <w:rFonts w:ascii="Century Gothic" w:hAnsi="Century Gothic"/>
          <w:b/>
          <w:sz w:val="28"/>
          <w:szCs w:val="28"/>
        </w:rPr>
      </w:pPr>
      <w:r w:rsidRPr="00644159">
        <w:rPr>
          <w:rFonts w:ascii="Century Gothic" w:hAnsi="Century Gothic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07BCEA" wp14:editId="318A400F">
            <wp:simplePos x="0" y="0"/>
            <wp:positionH relativeFrom="column">
              <wp:posOffset>-414655</wp:posOffset>
            </wp:positionH>
            <wp:positionV relativeFrom="paragraph">
              <wp:posOffset>-231775</wp:posOffset>
            </wp:positionV>
            <wp:extent cx="1251149" cy="3810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361;p7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9" r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49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5C2C4" w14:textId="6161ABB9" w:rsidR="006636B5" w:rsidRPr="003D5889" w:rsidRDefault="00325E7F" w:rsidP="0064415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3D5889">
        <w:rPr>
          <w:rFonts w:ascii="Century Gothic" w:hAnsi="Century Gothic"/>
          <w:b/>
          <w:sz w:val="28"/>
          <w:szCs w:val="28"/>
        </w:rPr>
        <w:t>12</w:t>
      </w:r>
      <w:r w:rsidR="007C7F96" w:rsidRPr="003D5889">
        <w:rPr>
          <w:rFonts w:ascii="Century Gothic" w:hAnsi="Century Gothic"/>
          <w:b/>
          <w:sz w:val="28"/>
          <w:szCs w:val="28"/>
        </w:rPr>
        <w:t>7</w:t>
      </w:r>
      <w:r w:rsidRPr="003D5889">
        <w:rPr>
          <w:rFonts w:ascii="Century Gothic" w:hAnsi="Century Gothic"/>
          <w:b/>
          <w:sz w:val="28"/>
          <w:szCs w:val="28"/>
          <w:vertAlign w:val="superscript"/>
        </w:rPr>
        <w:t>ème</w:t>
      </w:r>
      <w:r w:rsidRPr="003D5889">
        <w:rPr>
          <w:rFonts w:ascii="Century Gothic" w:hAnsi="Century Gothic"/>
          <w:b/>
          <w:sz w:val="28"/>
          <w:szCs w:val="28"/>
        </w:rPr>
        <w:t xml:space="preserve"> Assemblée </w:t>
      </w:r>
      <w:r w:rsidR="003D5889">
        <w:rPr>
          <w:rFonts w:ascii="Century Gothic" w:hAnsi="Century Gothic"/>
          <w:b/>
          <w:sz w:val="28"/>
          <w:szCs w:val="28"/>
        </w:rPr>
        <w:t>G</w:t>
      </w:r>
      <w:r w:rsidRPr="003D5889">
        <w:rPr>
          <w:rFonts w:ascii="Century Gothic" w:hAnsi="Century Gothic"/>
          <w:b/>
          <w:sz w:val="28"/>
          <w:szCs w:val="28"/>
        </w:rPr>
        <w:t>énérale de L’ATAF</w:t>
      </w:r>
    </w:p>
    <w:p w14:paraId="504C2EFC" w14:textId="7B165B5E" w:rsidR="00600387" w:rsidRPr="003D5889" w:rsidRDefault="007C7F96" w:rsidP="0064415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3D5889">
        <w:rPr>
          <w:rFonts w:ascii="Century Gothic" w:hAnsi="Century Gothic"/>
          <w:b/>
          <w:sz w:val="28"/>
          <w:szCs w:val="28"/>
        </w:rPr>
        <w:t>Nice</w:t>
      </w:r>
      <w:r w:rsidR="000901E9">
        <w:rPr>
          <w:rFonts w:ascii="Century Gothic" w:hAnsi="Century Gothic"/>
          <w:b/>
          <w:sz w:val="28"/>
          <w:szCs w:val="28"/>
        </w:rPr>
        <w:t xml:space="preserve"> - </w:t>
      </w:r>
      <w:r w:rsidRPr="003D5889">
        <w:rPr>
          <w:rFonts w:ascii="Century Gothic" w:hAnsi="Century Gothic"/>
          <w:b/>
          <w:sz w:val="28"/>
          <w:szCs w:val="28"/>
        </w:rPr>
        <w:t>29</w:t>
      </w:r>
      <w:r w:rsidR="006636B5" w:rsidRPr="003D5889">
        <w:rPr>
          <w:rFonts w:ascii="Century Gothic" w:hAnsi="Century Gothic"/>
          <w:b/>
          <w:sz w:val="28"/>
          <w:szCs w:val="28"/>
        </w:rPr>
        <w:t xml:space="preserve">/31 </w:t>
      </w:r>
      <w:r w:rsidR="00B90C62" w:rsidRPr="003D5889">
        <w:rPr>
          <w:rFonts w:ascii="Century Gothic" w:hAnsi="Century Gothic"/>
          <w:b/>
          <w:sz w:val="28"/>
          <w:szCs w:val="28"/>
        </w:rPr>
        <w:t>octobre 20</w:t>
      </w:r>
      <w:r w:rsidRPr="003D5889">
        <w:rPr>
          <w:rFonts w:ascii="Century Gothic" w:hAnsi="Century Gothic"/>
          <w:b/>
          <w:sz w:val="28"/>
          <w:szCs w:val="28"/>
        </w:rPr>
        <w:t>21</w:t>
      </w:r>
    </w:p>
    <w:p w14:paraId="10CD6ACE" w14:textId="77777777" w:rsidR="00644159" w:rsidRPr="00AD05F7" w:rsidRDefault="00644159" w:rsidP="00644159">
      <w:pPr>
        <w:spacing w:after="0" w:line="240" w:lineRule="auto"/>
        <w:jc w:val="center"/>
        <w:rPr>
          <w:bCs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80616" w14:textId="0979DD2A" w:rsidR="000901E9" w:rsidRPr="00644159" w:rsidRDefault="004C2CA4" w:rsidP="00644159">
      <w:pPr>
        <w:spacing w:after="0" w:line="240" w:lineRule="auto"/>
        <w:jc w:val="center"/>
        <w:rPr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Résumé</w:t>
      </w:r>
    </w:p>
    <w:p w14:paraId="450CD60E" w14:textId="77777777" w:rsidR="00644159" w:rsidRPr="00AD05F7" w:rsidRDefault="00644159" w:rsidP="00644159">
      <w:pPr>
        <w:spacing w:after="0" w:line="240" w:lineRule="auto"/>
        <w:jc w:val="center"/>
        <w:rPr>
          <w:bCs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C0EC1E" w14:textId="114BFB2A" w:rsidR="005C1544" w:rsidRDefault="005C1544" w:rsidP="00CB004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127</w:t>
      </w:r>
      <w:r>
        <w:rPr>
          <w:rFonts w:ascii="Century Gothic" w:hAnsi="Century Gothic"/>
          <w:sz w:val="24"/>
          <w:szCs w:val="24"/>
          <w:vertAlign w:val="superscript"/>
        </w:rPr>
        <w:t>ème</w:t>
      </w:r>
      <w:r>
        <w:rPr>
          <w:rFonts w:ascii="Century Gothic" w:hAnsi="Century Gothic"/>
          <w:sz w:val="24"/>
          <w:szCs w:val="24"/>
        </w:rPr>
        <w:t xml:space="preserve"> Assemblée Générale de l’ATAF a été animée et riche de dialogues et d’enseignements sur les sujets abordés.</w:t>
      </w:r>
    </w:p>
    <w:p w14:paraId="242F0B26" w14:textId="77777777" w:rsidR="005C1544" w:rsidRPr="00AD05F7" w:rsidRDefault="005C1544" w:rsidP="00CB004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002A141C" w14:textId="237BB07D" w:rsidR="00E22CF2" w:rsidRDefault="005C1544" w:rsidP="00CB0046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introduction, un état du transport aérien a été établi pour ces 2 dernières années.</w:t>
      </w:r>
    </w:p>
    <w:p w14:paraId="5B2E5F69" w14:textId="77777777" w:rsidR="00AD05F7" w:rsidRPr="00AD05F7" w:rsidRDefault="00AD05F7" w:rsidP="00CB0046">
      <w:pPr>
        <w:spacing w:after="0" w:line="240" w:lineRule="auto"/>
        <w:jc w:val="both"/>
        <w:rPr>
          <w:rFonts w:ascii="Century Gothic" w:hAnsi="Century Gothic"/>
          <w:sz w:val="16"/>
        </w:rPr>
      </w:pPr>
    </w:p>
    <w:p w14:paraId="00C6924A" w14:textId="3F968C72" w:rsidR="00AD05F7" w:rsidRDefault="005C1544" w:rsidP="00AD05F7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AD05F7">
        <w:rPr>
          <w:rFonts w:ascii="Century Gothic" w:hAnsi="Century Gothic"/>
          <w:sz w:val="24"/>
        </w:rPr>
        <w:t>La chute du trafic observé</w:t>
      </w:r>
      <w:r w:rsidR="00386D42">
        <w:rPr>
          <w:rFonts w:ascii="Century Gothic" w:hAnsi="Century Gothic"/>
          <w:sz w:val="24"/>
        </w:rPr>
        <w:t>e</w:t>
      </w:r>
      <w:r w:rsidRPr="00AD05F7">
        <w:rPr>
          <w:rFonts w:ascii="Century Gothic" w:hAnsi="Century Gothic"/>
          <w:sz w:val="24"/>
        </w:rPr>
        <w:t xml:space="preserve"> </w:t>
      </w:r>
      <w:r w:rsidR="00B70B09" w:rsidRPr="00AD05F7">
        <w:rPr>
          <w:rFonts w:ascii="Century Gothic" w:hAnsi="Century Gothic"/>
          <w:sz w:val="24"/>
        </w:rPr>
        <w:t>en 2020</w:t>
      </w:r>
      <w:r w:rsidRPr="00AD05F7">
        <w:rPr>
          <w:rFonts w:ascii="Century Gothic" w:hAnsi="Century Gothic"/>
          <w:sz w:val="24"/>
        </w:rPr>
        <w:t xml:space="preserve"> a été équivalente sur</w:t>
      </w:r>
      <w:r w:rsidR="00B70B09" w:rsidRPr="00AD05F7">
        <w:rPr>
          <w:rFonts w:ascii="Century Gothic" w:hAnsi="Century Gothic"/>
          <w:sz w:val="24"/>
        </w:rPr>
        <w:t xml:space="preserve"> </w:t>
      </w:r>
      <w:r w:rsidRPr="00AD05F7">
        <w:rPr>
          <w:rFonts w:ascii="Century Gothic" w:hAnsi="Century Gothic"/>
          <w:sz w:val="24"/>
        </w:rPr>
        <w:t>tou</w:t>
      </w:r>
      <w:r w:rsidR="00B70B09" w:rsidRPr="00AD05F7">
        <w:rPr>
          <w:rFonts w:ascii="Century Gothic" w:hAnsi="Century Gothic"/>
          <w:sz w:val="24"/>
        </w:rPr>
        <w:t>s</w:t>
      </w:r>
      <w:r w:rsidRPr="00AD05F7">
        <w:rPr>
          <w:rFonts w:ascii="Century Gothic" w:hAnsi="Century Gothic"/>
          <w:sz w:val="24"/>
        </w:rPr>
        <w:t xml:space="preserve"> les continents, de l’ordre de 65 %. </w:t>
      </w:r>
    </w:p>
    <w:p w14:paraId="7DF69D6E" w14:textId="77777777" w:rsidR="00AD05F7" w:rsidRPr="00AD05F7" w:rsidRDefault="00AD05F7" w:rsidP="00AD05F7">
      <w:pPr>
        <w:spacing w:after="0" w:line="240" w:lineRule="auto"/>
        <w:jc w:val="both"/>
        <w:rPr>
          <w:rFonts w:ascii="Century Gothic" w:hAnsi="Century Gothic"/>
          <w:sz w:val="8"/>
        </w:rPr>
      </w:pPr>
    </w:p>
    <w:p w14:paraId="52C4C1B7" w14:textId="77777777" w:rsidR="00AD05F7" w:rsidRDefault="005C1544" w:rsidP="00AD05F7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AD05F7">
        <w:rPr>
          <w:rFonts w:ascii="Century Gothic" w:hAnsi="Century Gothic"/>
          <w:sz w:val="24"/>
        </w:rPr>
        <w:t>Le</w:t>
      </w:r>
      <w:r w:rsidR="00B70B09" w:rsidRPr="00AD05F7">
        <w:rPr>
          <w:rFonts w:ascii="Century Gothic" w:hAnsi="Century Gothic"/>
          <w:sz w:val="24"/>
        </w:rPr>
        <w:t xml:space="preserve"> trafic actuel se situe à </w:t>
      </w:r>
      <w:r w:rsidRPr="00AD05F7">
        <w:rPr>
          <w:rFonts w:ascii="Century Gothic" w:hAnsi="Century Gothic"/>
          <w:sz w:val="24"/>
        </w:rPr>
        <w:t xml:space="preserve">55 %/60 % du trafic de 2019. </w:t>
      </w:r>
    </w:p>
    <w:p w14:paraId="20EB3157" w14:textId="11F2CAA9" w:rsidR="005C1544" w:rsidRDefault="00AD05F7" w:rsidP="00AD05F7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</w:t>
      </w:r>
      <w:r w:rsidR="005C1544" w:rsidRPr="00AD05F7">
        <w:rPr>
          <w:rFonts w:ascii="Century Gothic" w:hAnsi="Century Gothic"/>
          <w:sz w:val="24"/>
        </w:rPr>
        <w:t>e trafic intra-africain a été beaucoup plus impacté par les fermetures des pays que par la virulence du virus du Covid-19 – globalement moins forte qu’ailleurs.</w:t>
      </w:r>
    </w:p>
    <w:p w14:paraId="52817FF4" w14:textId="6A1D8F85" w:rsidR="005C1544" w:rsidRPr="00AD05F7" w:rsidRDefault="005C1544" w:rsidP="00CB0046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AD05F7">
        <w:rPr>
          <w:rFonts w:ascii="Century Gothic" w:hAnsi="Century Gothic"/>
          <w:sz w:val="24"/>
        </w:rPr>
        <w:t xml:space="preserve">Le trafic Europe/Afrique </w:t>
      </w:r>
      <w:r w:rsidR="00386D42">
        <w:rPr>
          <w:rFonts w:ascii="Century Gothic" w:hAnsi="Century Gothic"/>
          <w:sz w:val="24"/>
        </w:rPr>
        <w:t>a</w:t>
      </w:r>
      <w:r w:rsidRPr="00AD05F7">
        <w:rPr>
          <w:rFonts w:ascii="Century Gothic" w:hAnsi="Century Gothic"/>
          <w:sz w:val="24"/>
        </w:rPr>
        <w:t xml:space="preserve"> moins souffert que les autres trafic</w:t>
      </w:r>
      <w:r w:rsidR="00DC066C">
        <w:rPr>
          <w:rFonts w:ascii="Century Gothic" w:hAnsi="Century Gothic"/>
          <w:sz w:val="24"/>
        </w:rPr>
        <w:t>s</w:t>
      </w:r>
      <w:r w:rsidR="00AD05F7">
        <w:rPr>
          <w:rFonts w:ascii="Century Gothic" w:hAnsi="Century Gothic"/>
          <w:sz w:val="24"/>
        </w:rPr>
        <w:br/>
      </w:r>
      <w:r w:rsidRPr="00AD05F7">
        <w:rPr>
          <w:rFonts w:ascii="Century Gothic" w:hAnsi="Century Gothic"/>
          <w:sz w:val="24"/>
        </w:rPr>
        <w:t>long</w:t>
      </w:r>
      <w:r w:rsidR="00AD05F7" w:rsidRPr="00AD05F7">
        <w:rPr>
          <w:rFonts w:ascii="Century Gothic" w:hAnsi="Century Gothic"/>
          <w:sz w:val="24"/>
        </w:rPr>
        <w:t>-</w:t>
      </w:r>
      <w:r w:rsidRPr="00AD05F7">
        <w:rPr>
          <w:rFonts w:ascii="Century Gothic" w:hAnsi="Century Gothic"/>
          <w:sz w:val="24"/>
        </w:rPr>
        <w:t>courrier</w:t>
      </w:r>
      <w:r w:rsidR="00B70B09" w:rsidRPr="00AD05F7">
        <w:rPr>
          <w:rFonts w:ascii="Century Gothic" w:hAnsi="Century Gothic"/>
          <w:sz w:val="24"/>
        </w:rPr>
        <w:t xml:space="preserve"> du fait des moindres fermetures entre les deux continents</w:t>
      </w:r>
      <w:r w:rsidRPr="00AD05F7">
        <w:rPr>
          <w:rFonts w:ascii="Century Gothic" w:hAnsi="Century Gothic"/>
          <w:sz w:val="24"/>
        </w:rPr>
        <w:t xml:space="preserve">. </w:t>
      </w:r>
    </w:p>
    <w:p w14:paraId="4D168B15" w14:textId="77777777" w:rsidR="005C1544" w:rsidRPr="00AD05F7" w:rsidRDefault="005C1544" w:rsidP="00CB0046">
      <w:pPr>
        <w:spacing w:after="0" w:line="240" w:lineRule="auto"/>
        <w:jc w:val="both"/>
        <w:rPr>
          <w:rFonts w:ascii="Century Gothic" w:hAnsi="Century Gothic"/>
          <w:sz w:val="16"/>
        </w:rPr>
      </w:pPr>
    </w:p>
    <w:p w14:paraId="74E27D7E" w14:textId="0B17D203" w:rsidR="005C1544" w:rsidRDefault="005C1544" w:rsidP="00CB0046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Deux thèmes d’actualités ont été débattu</w:t>
      </w:r>
      <w:r w:rsidR="00386D42">
        <w:rPr>
          <w:rFonts w:ascii="Century Gothic" w:hAnsi="Century Gothic"/>
          <w:sz w:val="24"/>
        </w:rPr>
        <w:t>s</w:t>
      </w:r>
      <w:r>
        <w:rPr>
          <w:rFonts w:ascii="Century Gothic" w:hAnsi="Century Gothic"/>
          <w:sz w:val="24"/>
        </w:rPr>
        <w:t> :</w:t>
      </w:r>
    </w:p>
    <w:p w14:paraId="2FF534F3" w14:textId="77777777" w:rsidR="005C1544" w:rsidRPr="00AD05F7" w:rsidRDefault="005C1544" w:rsidP="005C1544">
      <w:pPr>
        <w:spacing w:after="0" w:line="240" w:lineRule="auto"/>
        <w:rPr>
          <w:rFonts w:ascii="Century Gothic" w:hAnsi="Century Gothic" w:cs="Calibri"/>
          <w:sz w:val="8"/>
          <w:szCs w:val="24"/>
        </w:rPr>
      </w:pPr>
    </w:p>
    <w:p w14:paraId="6CFD1096" w14:textId="77777777" w:rsidR="005C1544" w:rsidRDefault="005C1544" w:rsidP="00CB0046">
      <w:pPr>
        <w:pStyle w:val="Paragraphedeliste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Century Gothic" w:eastAsia="Times New Roman" w:hAnsi="Century Gothic"/>
          <w:b/>
          <w:bCs/>
          <w:sz w:val="24"/>
          <w:szCs w:val="24"/>
        </w:rPr>
      </w:pPr>
      <w:r>
        <w:rPr>
          <w:rFonts w:ascii="Century Gothic" w:eastAsia="Times New Roman" w:hAnsi="Century Gothic"/>
          <w:b/>
          <w:bCs/>
          <w:sz w:val="24"/>
          <w:szCs w:val="24"/>
        </w:rPr>
        <w:t>Le Covid et ses conséquences</w:t>
      </w:r>
    </w:p>
    <w:p w14:paraId="4372412E" w14:textId="77777777" w:rsidR="005C1544" w:rsidRPr="00AD05F7" w:rsidRDefault="005C1544" w:rsidP="00CB0046">
      <w:pPr>
        <w:pStyle w:val="Paragraphedeliste"/>
        <w:spacing w:after="0" w:line="240" w:lineRule="auto"/>
        <w:ind w:left="426" w:hanging="426"/>
        <w:rPr>
          <w:rFonts w:ascii="Century Gothic" w:hAnsi="Century Gothic"/>
          <w:sz w:val="18"/>
          <w:szCs w:val="24"/>
        </w:rPr>
      </w:pPr>
    </w:p>
    <w:p w14:paraId="78F7DAAD" w14:textId="77777777" w:rsidR="00E22CF2" w:rsidRDefault="005C1544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table ronde à laquelle participaient des Médecins chercheurs et des Médecins d’entreprises a conclu à la durabilité de cette pandémie qui pourrait devenir une épidémie </w:t>
      </w:r>
      <w:r w:rsidR="00E22CF2">
        <w:rPr>
          <w:rFonts w:ascii="Century Gothic" w:hAnsi="Century Gothic"/>
          <w:sz w:val="24"/>
          <w:szCs w:val="24"/>
        </w:rPr>
        <w:t>récurrente</w:t>
      </w:r>
      <w:r>
        <w:rPr>
          <w:rFonts w:ascii="Century Gothic" w:hAnsi="Century Gothic"/>
          <w:sz w:val="24"/>
          <w:szCs w:val="24"/>
        </w:rPr>
        <w:t xml:space="preserve"> nécessitant comme la grippe une vaccination régulière.</w:t>
      </w:r>
    </w:p>
    <w:p w14:paraId="5BC4C947" w14:textId="77777777" w:rsidR="00E22CF2" w:rsidRDefault="00E22CF2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113B50C3" w14:textId="2BE077C3" w:rsidR="005C1544" w:rsidRDefault="00E22CF2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5C1544">
        <w:rPr>
          <w:rFonts w:ascii="Century Gothic" w:hAnsi="Century Gothic"/>
          <w:sz w:val="24"/>
          <w:szCs w:val="24"/>
        </w:rPr>
        <w:t>’ensemble des compagnies aériennes présentes ont fait preuve d’un relatif optimisme sur la reprise du trafic touristique à l’horizon de 2023/2024</w:t>
      </w:r>
      <w:r w:rsidR="00AD05F7">
        <w:rPr>
          <w:rFonts w:ascii="Century Gothic" w:hAnsi="Century Gothic"/>
          <w:sz w:val="24"/>
          <w:szCs w:val="24"/>
        </w:rPr>
        <w:t xml:space="preserve">. Toutefois, </w:t>
      </w:r>
      <w:r w:rsidR="00DC066C">
        <w:rPr>
          <w:rFonts w:ascii="Century Gothic" w:hAnsi="Century Gothic"/>
          <w:sz w:val="24"/>
          <w:szCs w:val="24"/>
        </w:rPr>
        <w:t>elles</w:t>
      </w:r>
      <w:r w:rsidR="00AD05F7">
        <w:rPr>
          <w:rFonts w:ascii="Century Gothic" w:hAnsi="Century Gothic"/>
          <w:sz w:val="24"/>
          <w:szCs w:val="24"/>
        </w:rPr>
        <w:t xml:space="preserve"> émettent une </w:t>
      </w:r>
      <w:r w:rsidR="005C1544">
        <w:rPr>
          <w:rFonts w:ascii="Century Gothic" w:hAnsi="Century Gothic"/>
          <w:sz w:val="24"/>
          <w:szCs w:val="24"/>
        </w:rPr>
        <w:t>réserve sur la reprise du trafic affaire</w:t>
      </w:r>
      <w:r w:rsidR="00386D42">
        <w:rPr>
          <w:rFonts w:ascii="Century Gothic" w:hAnsi="Century Gothic"/>
          <w:sz w:val="24"/>
          <w:szCs w:val="24"/>
        </w:rPr>
        <w:t>s</w:t>
      </w:r>
      <w:r w:rsidR="00CB0046">
        <w:rPr>
          <w:rFonts w:ascii="Century Gothic" w:hAnsi="Century Gothic"/>
          <w:sz w:val="24"/>
          <w:szCs w:val="24"/>
        </w:rPr>
        <w:t>,</w:t>
      </w:r>
      <w:r w:rsidR="005C1544">
        <w:rPr>
          <w:rFonts w:ascii="Century Gothic" w:hAnsi="Century Gothic"/>
          <w:sz w:val="24"/>
          <w:szCs w:val="24"/>
        </w:rPr>
        <w:t xml:space="preserve"> durablement impacté par les changements d</w:t>
      </w:r>
      <w:r w:rsidR="00CB0046">
        <w:rPr>
          <w:rFonts w:ascii="Century Gothic" w:hAnsi="Century Gothic"/>
          <w:sz w:val="24"/>
          <w:szCs w:val="24"/>
        </w:rPr>
        <w:t xml:space="preserve">es </w:t>
      </w:r>
      <w:r w:rsidR="005C1544">
        <w:rPr>
          <w:rFonts w:ascii="Century Gothic" w:hAnsi="Century Gothic"/>
          <w:sz w:val="24"/>
          <w:szCs w:val="24"/>
        </w:rPr>
        <w:t>mode</w:t>
      </w:r>
      <w:r w:rsidR="00CB0046">
        <w:rPr>
          <w:rFonts w:ascii="Century Gothic" w:hAnsi="Century Gothic"/>
          <w:sz w:val="24"/>
          <w:szCs w:val="24"/>
        </w:rPr>
        <w:t>s</w:t>
      </w:r>
      <w:r w:rsidR="005C1544">
        <w:rPr>
          <w:rFonts w:ascii="Century Gothic" w:hAnsi="Century Gothic"/>
          <w:sz w:val="24"/>
          <w:szCs w:val="24"/>
        </w:rPr>
        <w:t xml:space="preserve"> d</w:t>
      </w:r>
      <w:r w:rsidR="00CB0046">
        <w:rPr>
          <w:rFonts w:ascii="Century Gothic" w:hAnsi="Century Gothic"/>
          <w:sz w:val="24"/>
          <w:szCs w:val="24"/>
        </w:rPr>
        <w:t>e</w:t>
      </w:r>
      <w:r w:rsidR="005C1544">
        <w:rPr>
          <w:rFonts w:ascii="Century Gothic" w:hAnsi="Century Gothic"/>
          <w:sz w:val="24"/>
          <w:szCs w:val="24"/>
        </w:rPr>
        <w:t xml:space="preserve"> travail et les prudences environnementales accrues</w:t>
      </w:r>
      <w:r w:rsidR="00CB0046">
        <w:rPr>
          <w:rFonts w:ascii="Century Gothic" w:hAnsi="Century Gothic"/>
          <w:sz w:val="24"/>
          <w:szCs w:val="24"/>
        </w:rPr>
        <w:t>,</w:t>
      </w:r>
      <w:r w:rsidR="005C1544">
        <w:rPr>
          <w:rFonts w:ascii="Century Gothic" w:hAnsi="Century Gothic"/>
          <w:sz w:val="24"/>
          <w:szCs w:val="24"/>
        </w:rPr>
        <w:t xml:space="preserve"> particulièrement dans les grandes entreprises. Elles ont évoqué l’horizon 2027 au plus tôt pour un retour à la situation ex-ante.</w:t>
      </w:r>
      <w:r w:rsidR="00B70B09">
        <w:rPr>
          <w:rFonts w:ascii="Century Gothic" w:hAnsi="Century Gothic"/>
          <w:sz w:val="24"/>
          <w:szCs w:val="24"/>
        </w:rPr>
        <w:t xml:space="preserve"> </w:t>
      </w:r>
    </w:p>
    <w:p w14:paraId="6DF84D39" w14:textId="69B762A4" w:rsidR="00B70B09" w:rsidRDefault="00B70B09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2B961485" w14:textId="36C57F6F" w:rsidR="005C1544" w:rsidRDefault="00B70B09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Toutes les compagnies ont fait part de leur attente de plus d'homogénéité dans l'approche des Etats. Elles ont également </w:t>
      </w:r>
      <w:r w:rsidR="00250FFF">
        <w:rPr>
          <w:rFonts w:ascii="Century Gothic" w:hAnsi="Century Gothic"/>
          <w:sz w:val="24"/>
          <w:szCs w:val="24"/>
        </w:rPr>
        <w:t>émi</w:t>
      </w:r>
      <w:r w:rsidR="00644159">
        <w:rPr>
          <w:rFonts w:ascii="Century Gothic" w:hAnsi="Century Gothic"/>
          <w:sz w:val="24"/>
          <w:szCs w:val="24"/>
        </w:rPr>
        <w:t>s</w:t>
      </w:r>
      <w:r w:rsidR="00250FFF">
        <w:rPr>
          <w:rFonts w:ascii="Century Gothic" w:hAnsi="Century Gothic"/>
          <w:sz w:val="24"/>
          <w:szCs w:val="24"/>
        </w:rPr>
        <w:t xml:space="preserve"> le souhait qu'un </w:t>
      </w:r>
      <w:proofErr w:type="spellStart"/>
      <w:r w:rsidR="00AD05F7">
        <w:rPr>
          <w:rFonts w:ascii="Century Gothic" w:hAnsi="Century Gothic"/>
          <w:sz w:val="24"/>
          <w:szCs w:val="24"/>
        </w:rPr>
        <w:t>P</w:t>
      </w:r>
      <w:r w:rsidR="00250FFF">
        <w:rPr>
          <w:rFonts w:ascii="Century Gothic" w:hAnsi="Century Gothic"/>
          <w:sz w:val="24"/>
          <w:szCs w:val="24"/>
        </w:rPr>
        <w:t>ass</w:t>
      </w:r>
      <w:proofErr w:type="spellEnd"/>
      <w:r w:rsidR="00250FFF">
        <w:rPr>
          <w:rFonts w:ascii="Century Gothic" w:hAnsi="Century Gothic"/>
          <w:sz w:val="24"/>
          <w:szCs w:val="24"/>
        </w:rPr>
        <w:t xml:space="preserve"> </w:t>
      </w:r>
      <w:r w:rsidR="00644159">
        <w:rPr>
          <w:rFonts w:ascii="Century Gothic" w:hAnsi="Century Gothic"/>
          <w:sz w:val="24"/>
          <w:szCs w:val="24"/>
        </w:rPr>
        <w:t>m</w:t>
      </w:r>
      <w:r w:rsidR="00250FFF">
        <w:rPr>
          <w:rFonts w:ascii="Century Gothic" w:hAnsi="Century Gothic"/>
          <w:sz w:val="24"/>
          <w:szCs w:val="24"/>
        </w:rPr>
        <w:t>ondial établi par l'OMS soit rapidement mis en place</w:t>
      </w:r>
      <w:r w:rsidR="00E22CF2">
        <w:rPr>
          <w:rFonts w:ascii="Century Gothic" w:hAnsi="Century Gothic"/>
          <w:sz w:val="24"/>
          <w:szCs w:val="24"/>
        </w:rPr>
        <w:t xml:space="preserve"> et promu par tous les </w:t>
      </w:r>
      <w:r w:rsidR="00491A43">
        <w:rPr>
          <w:rFonts w:ascii="Century Gothic" w:hAnsi="Century Gothic"/>
          <w:sz w:val="24"/>
          <w:szCs w:val="24"/>
        </w:rPr>
        <w:t>E</w:t>
      </w:r>
      <w:r w:rsidR="00E22CF2">
        <w:rPr>
          <w:rFonts w:ascii="Century Gothic" w:hAnsi="Century Gothic"/>
          <w:sz w:val="24"/>
          <w:szCs w:val="24"/>
        </w:rPr>
        <w:t>tats pour accélérer la reprise du transport aérien et du tourisme.</w:t>
      </w:r>
    </w:p>
    <w:p w14:paraId="7B8002CF" w14:textId="6588078B" w:rsidR="00644159" w:rsidRDefault="00644159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2E9644CD" w14:textId="77777777" w:rsidR="00AD05F7" w:rsidRDefault="00AD05F7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379DF754" w14:textId="77777777" w:rsidR="005C1544" w:rsidRDefault="005C1544" w:rsidP="00CB0046">
      <w:pPr>
        <w:pStyle w:val="Paragraphedeliste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b/>
          <w:bCs/>
          <w:sz w:val="24"/>
          <w:szCs w:val="24"/>
        </w:rPr>
        <w:t>Les Exigences environnementales et leur impact sur les constructeurs et les compagnies aériennes</w:t>
      </w:r>
      <w:r>
        <w:rPr>
          <w:rFonts w:ascii="Century Gothic" w:eastAsia="Times New Roman" w:hAnsi="Century Gothic"/>
          <w:sz w:val="24"/>
          <w:szCs w:val="24"/>
        </w:rPr>
        <w:t xml:space="preserve">. </w:t>
      </w:r>
    </w:p>
    <w:p w14:paraId="42261028" w14:textId="77777777" w:rsidR="005C1544" w:rsidRDefault="005C1544" w:rsidP="00CB0046">
      <w:pPr>
        <w:pStyle w:val="Paragraphedeliste"/>
        <w:spacing w:after="0" w:line="240" w:lineRule="auto"/>
        <w:ind w:left="426" w:hanging="426"/>
        <w:rPr>
          <w:rFonts w:ascii="Century Gothic" w:hAnsi="Century Gothic"/>
          <w:b/>
          <w:bCs/>
          <w:sz w:val="24"/>
          <w:szCs w:val="24"/>
        </w:rPr>
      </w:pPr>
    </w:p>
    <w:p w14:paraId="2A802ED5" w14:textId="04B4355E" w:rsidR="00644159" w:rsidRDefault="005C1544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L’urgence climatique a conduit IATA à s’engager à la neutralité carbone pour le secteur aérien en 2050. Il est apparu clairement dans les débats que si les progrès technologiques avaient permis jusqu’à présent de réduire </w:t>
      </w:r>
      <w:r w:rsidR="00E22CF2">
        <w:rPr>
          <w:rFonts w:ascii="Century Gothic" w:hAnsi="Century Gothic"/>
          <w:sz w:val="24"/>
          <w:szCs w:val="24"/>
        </w:rPr>
        <w:t xml:space="preserve">sensiblement </w:t>
      </w:r>
      <w:r>
        <w:rPr>
          <w:rFonts w:ascii="Century Gothic" w:hAnsi="Century Gothic"/>
          <w:sz w:val="24"/>
          <w:szCs w:val="24"/>
        </w:rPr>
        <w:t>l’empr</w:t>
      </w:r>
      <w:r w:rsidR="00CB0046">
        <w:rPr>
          <w:rFonts w:ascii="Century Gothic" w:hAnsi="Century Gothic"/>
          <w:sz w:val="24"/>
          <w:szCs w:val="24"/>
        </w:rPr>
        <w:t>ein</w:t>
      </w:r>
      <w:r>
        <w:rPr>
          <w:rFonts w:ascii="Century Gothic" w:hAnsi="Century Gothic"/>
          <w:sz w:val="24"/>
          <w:szCs w:val="24"/>
        </w:rPr>
        <w:t>te carbone par passager sur les 20 dernières</w:t>
      </w:r>
      <w:r w:rsidR="00E22CF2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années</w:t>
      </w:r>
      <w:r w:rsidR="00E22CF2">
        <w:rPr>
          <w:rFonts w:ascii="Century Gothic" w:hAnsi="Century Gothic"/>
          <w:sz w:val="24"/>
          <w:szCs w:val="24"/>
        </w:rPr>
        <w:t>, c</w:t>
      </w:r>
      <w:r>
        <w:rPr>
          <w:rFonts w:ascii="Century Gothic" w:hAnsi="Century Gothic"/>
          <w:sz w:val="24"/>
          <w:szCs w:val="24"/>
        </w:rPr>
        <w:t xml:space="preserve">et effort était contrecarré par l’explosion du trafic aérien qui a presque triplé dans le même temps. </w:t>
      </w:r>
    </w:p>
    <w:p w14:paraId="71E34881" w14:textId="77777777" w:rsidR="00644159" w:rsidRDefault="00644159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3163EE5F" w14:textId="77777777" w:rsidR="00644159" w:rsidRDefault="00644159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4946A2AD" w14:textId="0C8A4B6B" w:rsidR="005C1544" w:rsidRDefault="005C1544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même phénomène projeté sur les 30 prochaines années </w:t>
      </w:r>
      <w:r w:rsidR="00E22CF2">
        <w:rPr>
          <w:rFonts w:ascii="Century Gothic" w:hAnsi="Century Gothic"/>
          <w:sz w:val="24"/>
          <w:szCs w:val="24"/>
        </w:rPr>
        <w:t xml:space="preserve">durant lesquelles </w:t>
      </w:r>
      <w:r>
        <w:rPr>
          <w:rFonts w:ascii="Century Gothic" w:hAnsi="Century Gothic"/>
          <w:sz w:val="24"/>
          <w:szCs w:val="24"/>
        </w:rPr>
        <w:t>un quintuplement du trafic est attendu conduit à un consensus des constructeurs</w:t>
      </w:r>
      <w:r w:rsidR="00DC066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DC066C">
        <w:rPr>
          <w:rFonts w:ascii="Century Gothic" w:hAnsi="Century Gothic"/>
          <w:sz w:val="24"/>
          <w:szCs w:val="24"/>
        </w:rPr>
        <w:t xml:space="preserve">Tous </w:t>
      </w:r>
      <w:r>
        <w:rPr>
          <w:rFonts w:ascii="Century Gothic" w:hAnsi="Century Gothic"/>
          <w:sz w:val="24"/>
          <w:szCs w:val="24"/>
        </w:rPr>
        <w:t xml:space="preserve">leurs efforts </w:t>
      </w:r>
      <w:r w:rsidR="00DC066C">
        <w:rPr>
          <w:rFonts w:ascii="Century Gothic" w:hAnsi="Century Gothic"/>
          <w:sz w:val="24"/>
          <w:szCs w:val="24"/>
        </w:rPr>
        <w:t xml:space="preserve">en matière de technologie </w:t>
      </w:r>
      <w:r>
        <w:rPr>
          <w:rFonts w:ascii="Century Gothic" w:hAnsi="Century Gothic"/>
          <w:sz w:val="24"/>
          <w:szCs w:val="24"/>
        </w:rPr>
        <w:t>et les progrès en matière de consommation qui en résulte</w:t>
      </w:r>
      <w:r w:rsidR="00E22CF2">
        <w:rPr>
          <w:rFonts w:ascii="Century Gothic" w:hAnsi="Century Gothic"/>
          <w:sz w:val="24"/>
          <w:szCs w:val="24"/>
        </w:rPr>
        <w:t>ro</w:t>
      </w:r>
      <w:r>
        <w:rPr>
          <w:rFonts w:ascii="Century Gothic" w:hAnsi="Century Gothic"/>
          <w:sz w:val="24"/>
          <w:szCs w:val="24"/>
        </w:rPr>
        <w:t>nt ne suffiront pas - très loin de là</w:t>
      </w:r>
      <w:r w:rsidR="00250FFF">
        <w:rPr>
          <w:rFonts w:ascii="Century Gothic" w:hAnsi="Century Gothic"/>
          <w:sz w:val="24"/>
          <w:szCs w:val="24"/>
        </w:rPr>
        <w:t xml:space="preserve"> -</w:t>
      </w:r>
      <w:r>
        <w:rPr>
          <w:rFonts w:ascii="Century Gothic" w:hAnsi="Century Gothic"/>
          <w:sz w:val="24"/>
          <w:szCs w:val="24"/>
        </w:rPr>
        <w:t xml:space="preserve"> pour atteindre la neutralité carbone dans les délais imposés</w:t>
      </w:r>
      <w:r w:rsidR="00E22CF2">
        <w:rPr>
          <w:rFonts w:ascii="Century Gothic" w:hAnsi="Century Gothic"/>
          <w:sz w:val="24"/>
          <w:szCs w:val="24"/>
        </w:rPr>
        <w:t xml:space="preserve"> et</w:t>
      </w:r>
      <w:r w:rsidR="00DC066C">
        <w:rPr>
          <w:rFonts w:ascii="Century Gothic" w:hAnsi="Century Gothic"/>
          <w:sz w:val="24"/>
          <w:szCs w:val="24"/>
        </w:rPr>
        <w:t xml:space="preserve"> même</w:t>
      </w:r>
      <w:r w:rsidR="00E22CF2">
        <w:rPr>
          <w:rFonts w:ascii="Century Gothic" w:hAnsi="Century Gothic"/>
          <w:sz w:val="24"/>
          <w:szCs w:val="24"/>
        </w:rPr>
        <w:t xml:space="preserve"> t</w:t>
      </w:r>
      <w:r>
        <w:rPr>
          <w:rFonts w:ascii="Century Gothic" w:hAnsi="Century Gothic"/>
          <w:sz w:val="24"/>
          <w:szCs w:val="24"/>
        </w:rPr>
        <w:t xml:space="preserve">ous les efforts complémentaires des aéroports, de la navigation aérienne et des compagnies aériennes n’y contribueront que marginalement. </w:t>
      </w:r>
    </w:p>
    <w:p w14:paraId="163F1793" w14:textId="77777777" w:rsidR="00CB0046" w:rsidRDefault="00CB0046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459672C6" w14:textId="5D5F2FEE" w:rsidR="005C1544" w:rsidRDefault="005C1544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seul espoir, à ce jour, réside dans l’utilisation des carburants de substitution au kérosène ; les bio fuels d’abord et les fuels de synthèse ensuite. Cet espoir est toutefois tempéré par 2 inconvénients : concernant les bio fuels leur quantité sera limité</w:t>
      </w:r>
      <w:r w:rsidR="00CB0046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, quant aux fuels de synthèse</w:t>
      </w:r>
      <w:r w:rsidR="00386D4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leur coût de fabrication est encore exorbitant. De plus, la production de ces derniers n’interviendra en quantité qu’à partir de 2035/2040.</w:t>
      </w:r>
    </w:p>
    <w:p w14:paraId="0DF4ADDA" w14:textId="7EBE49F3" w:rsidR="00051108" w:rsidRDefault="00051108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14:paraId="6527F399" w14:textId="59A1C9E6" w:rsidR="00051108" w:rsidRDefault="00051108" w:rsidP="00CB0046">
      <w:pPr>
        <w:pStyle w:val="Paragraphedeliste"/>
        <w:spacing w:after="0" w:line="240" w:lineRule="auto"/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Entre temps, l'engagement des acteurs de l'aérien à compens</w:t>
      </w:r>
      <w:r w:rsidR="00954B97">
        <w:rPr>
          <w:rFonts w:ascii="Century Gothic" w:hAnsi="Century Gothic"/>
          <w:sz w:val="24"/>
          <w:szCs w:val="24"/>
        </w:rPr>
        <w:t>er</w:t>
      </w:r>
      <w:r>
        <w:rPr>
          <w:rFonts w:ascii="Century Gothic" w:hAnsi="Century Gothic"/>
          <w:sz w:val="24"/>
          <w:szCs w:val="24"/>
        </w:rPr>
        <w:t xml:space="preserve"> leur</w:t>
      </w:r>
      <w:r w:rsidR="00386D42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émission</w:t>
      </w:r>
      <w:r w:rsidR="00386D42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de carbone par des investissements éco-responsables (plantation de forêt par exemple) pourra permettre d'a</w:t>
      </w:r>
      <w:r w:rsidR="00954B97">
        <w:rPr>
          <w:rFonts w:ascii="Century Gothic" w:hAnsi="Century Gothic"/>
          <w:sz w:val="24"/>
          <w:szCs w:val="24"/>
        </w:rPr>
        <w:t>pprocher</w:t>
      </w:r>
      <w:r>
        <w:rPr>
          <w:rFonts w:ascii="Century Gothic" w:hAnsi="Century Gothic"/>
          <w:sz w:val="24"/>
          <w:szCs w:val="24"/>
        </w:rPr>
        <w:t xml:space="preserve"> la neutralité carbone.</w:t>
      </w:r>
    </w:p>
    <w:p w14:paraId="1F5D3CA5" w14:textId="61BC7831" w:rsidR="00CB0046" w:rsidRDefault="00CB0046" w:rsidP="00CB0046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14:paraId="165BED29" w14:textId="77777777" w:rsidR="00644159" w:rsidRDefault="00644159" w:rsidP="00CB0046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14:paraId="0C620D37" w14:textId="1BD1FF69" w:rsidR="005C1544" w:rsidRDefault="005C1544" w:rsidP="00CB0046">
      <w:pPr>
        <w:pStyle w:val="Paragraphedeliste"/>
        <w:numPr>
          <w:ilvl w:val="0"/>
          <w:numId w:val="19"/>
        </w:numPr>
        <w:spacing w:after="0" w:line="240" w:lineRule="auto"/>
        <w:ind w:left="426"/>
        <w:contextualSpacing w:val="0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b/>
          <w:bCs/>
          <w:sz w:val="24"/>
          <w:szCs w:val="24"/>
        </w:rPr>
        <w:t>Enfin, les pistes de déploiement de l’ATAF ont été exposé</w:t>
      </w:r>
      <w:r w:rsidR="00FC4A44">
        <w:rPr>
          <w:rFonts w:ascii="Century Gothic" w:eastAsia="Times New Roman" w:hAnsi="Century Gothic"/>
          <w:b/>
          <w:bCs/>
          <w:sz w:val="24"/>
          <w:szCs w:val="24"/>
        </w:rPr>
        <w:t>e</w:t>
      </w:r>
      <w:r>
        <w:rPr>
          <w:rFonts w:ascii="Century Gothic" w:eastAsia="Times New Roman" w:hAnsi="Century Gothic"/>
          <w:b/>
          <w:bCs/>
          <w:sz w:val="24"/>
          <w:szCs w:val="24"/>
        </w:rPr>
        <w:t>s</w:t>
      </w:r>
      <w:r>
        <w:rPr>
          <w:rFonts w:ascii="Century Gothic" w:eastAsia="Times New Roman" w:hAnsi="Century Gothic"/>
          <w:sz w:val="24"/>
          <w:szCs w:val="24"/>
        </w:rPr>
        <w:t> :</w:t>
      </w:r>
    </w:p>
    <w:p w14:paraId="28A1BC11" w14:textId="77777777" w:rsidR="005C1544" w:rsidRDefault="005C1544" w:rsidP="00CB0046">
      <w:pPr>
        <w:pStyle w:val="Paragraphedeliste"/>
        <w:spacing w:after="0" w:line="240" w:lineRule="auto"/>
        <w:ind w:left="426"/>
        <w:rPr>
          <w:rFonts w:ascii="Century Gothic" w:hAnsi="Century Gothic"/>
          <w:sz w:val="24"/>
          <w:szCs w:val="24"/>
        </w:rPr>
      </w:pPr>
    </w:p>
    <w:p w14:paraId="5FB89DC8" w14:textId="23C0B375" w:rsidR="005C1544" w:rsidRDefault="005C1544" w:rsidP="00CB0046">
      <w:pPr>
        <w:pStyle w:val="Paragraphedeliste"/>
        <w:numPr>
          <w:ilvl w:val="0"/>
          <w:numId w:val="20"/>
        </w:numPr>
        <w:spacing w:after="0" w:line="240" w:lineRule="auto"/>
        <w:ind w:left="851"/>
        <w:contextualSpacing w:val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5 nouvelles compagnies </w:t>
      </w:r>
      <w:r w:rsidR="00051108">
        <w:rPr>
          <w:rFonts w:ascii="Century Gothic" w:eastAsia="Times New Roman" w:hAnsi="Century Gothic"/>
          <w:sz w:val="24"/>
          <w:szCs w:val="24"/>
        </w:rPr>
        <w:t xml:space="preserve">(Air Caraïbes, Air Sénégal, Afrijet, Corsair, Transavia France) </w:t>
      </w:r>
      <w:r>
        <w:rPr>
          <w:rFonts w:ascii="Century Gothic" w:eastAsia="Times New Roman" w:hAnsi="Century Gothic"/>
          <w:sz w:val="24"/>
          <w:szCs w:val="24"/>
        </w:rPr>
        <w:t>ont rejoint l’association portant maintenant leur nombre à 20. De nouveaux partenaires du Transport Aérien ont également rejoint l’association</w:t>
      </w:r>
      <w:r w:rsidR="00051108">
        <w:rPr>
          <w:rFonts w:ascii="Century Gothic" w:eastAsia="Times New Roman" w:hAnsi="Century Gothic"/>
          <w:sz w:val="24"/>
          <w:szCs w:val="24"/>
        </w:rPr>
        <w:t xml:space="preserve"> (Aéroport de Nice Côte d'Azur, Allianz Travel, BlueLink, Groupe Rogers, Sixt)</w:t>
      </w:r>
      <w:r>
        <w:rPr>
          <w:rFonts w:ascii="Century Gothic" w:eastAsia="Times New Roman" w:hAnsi="Century Gothic"/>
          <w:sz w:val="24"/>
          <w:szCs w:val="24"/>
        </w:rPr>
        <w:t>.</w:t>
      </w:r>
    </w:p>
    <w:p w14:paraId="4889F80B" w14:textId="4666A7FF" w:rsidR="005C1544" w:rsidRDefault="005C1544" w:rsidP="00CB0046">
      <w:pPr>
        <w:pStyle w:val="Paragraphedeliste"/>
        <w:numPr>
          <w:ilvl w:val="0"/>
          <w:numId w:val="20"/>
        </w:numPr>
        <w:spacing w:after="0" w:line="240" w:lineRule="auto"/>
        <w:ind w:left="851"/>
        <w:contextualSpacing w:val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Un nouveau </w:t>
      </w:r>
      <w:r w:rsidR="001B2829">
        <w:rPr>
          <w:rFonts w:ascii="Century Gothic" w:eastAsia="Times New Roman" w:hAnsi="Century Gothic"/>
          <w:sz w:val="24"/>
          <w:szCs w:val="24"/>
        </w:rPr>
        <w:t xml:space="preserve">Site Internet </w:t>
      </w:r>
      <w:r w:rsidR="00386D42">
        <w:rPr>
          <w:rFonts w:ascii="Century Gothic" w:eastAsia="Times New Roman" w:hAnsi="Century Gothic"/>
          <w:sz w:val="24"/>
          <w:szCs w:val="24"/>
        </w:rPr>
        <w:t>ainsi q</w:t>
      </w:r>
      <w:r w:rsidR="00491A43">
        <w:rPr>
          <w:rFonts w:ascii="Century Gothic" w:eastAsia="Times New Roman" w:hAnsi="Century Gothic"/>
          <w:sz w:val="24"/>
          <w:szCs w:val="24"/>
        </w:rPr>
        <w:t>u</w:t>
      </w:r>
      <w:r w:rsidR="00386D42">
        <w:rPr>
          <w:rFonts w:ascii="Century Gothic" w:eastAsia="Times New Roman" w:hAnsi="Century Gothic"/>
          <w:sz w:val="24"/>
          <w:szCs w:val="24"/>
        </w:rPr>
        <w:t>’</w:t>
      </w:r>
      <w:r w:rsidR="001B2829">
        <w:rPr>
          <w:rFonts w:ascii="Century Gothic" w:eastAsia="Times New Roman" w:hAnsi="Century Gothic"/>
          <w:sz w:val="24"/>
          <w:szCs w:val="24"/>
        </w:rPr>
        <w:t xml:space="preserve">un </w:t>
      </w:r>
      <w:r w:rsidR="00386D42">
        <w:rPr>
          <w:rFonts w:ascii="Century Gothic" w:eastAsia="Times New Roman" w:hAnsi="Century Gothic"/>
          <w:sz w:val="24"/>
          <w:szCs w:val="24"/>
        </w:rPr>
        <w:t xml:space="preserve">nouveau </w:t>
      </w:r>
      <w:r w:rsidR="00051108">
        <w:rPr>
          <w:rFonts w:ascii="Century Gothic" w:eastAsia="Times New Roman" w:hAnsi="Century Gothic"/>
          <w:sz w:val="24"/>
          <w:szCs w:val="24"/>
        </w:rPr>
        <w:t xml:space="preserve">logo ont </w:t>
      </w:r>
      <w:r>
        <w:rPr>
          <w:rFonts w:ascii="Century Gothic" w:eastAsia="Times New Roman" w:hAnsi="Century Gothic"/>
          <w:sz w:val="24"/>
          <w:szCs w:val="24"/>
        </w:rPr>
        <w:t xml:space="preserve">été </w:t>
      </w:r>
      <w:r w:rsidR="00386D42">
        <w:rPr>
          <w:rFonts w:ascii="Century Gothic" w:eastAsia="Times New Roman" w:hAnsi="Century Gothic"/>
          <w:sz w:val="24"/>
          <w:szCs w:val="24"/>
        </w:rPr>
        <w:t>créés</w:t>
      </w:r>
      <w:r>
        <w:rPr>
          <w:rFonts w:ascii="Century Gothic" w:eastAsia="Times New Roman" w:hAnsi="Century Gothic"/>
          <w:sz w:val="24"/>
          <w:szCs w:val="24"/>
        </w:rPr>
        <w:t xml:space="preserve"> permettant</w:t>
      </w:r>
      <w:r w:rsidR="00386D42">
        <w:rPr>
          <w:rFonts w:ascii="Century Gothic" w:eastAsia="Times New Roman" w:hAnsi="Century Gothic"/>
          <w:sz w:val="24"/>
          <w:szCs w:val="24"/>
        </w:rPr>
        <w:t xml:space="preserve"> ainsi </w:t>
      </w:r>
      <w:r>
        <w:rPr>
          <w:rFonts w:ascii="Century Gothic" w:eastAsia="Times New Roman" w:hAnsi="Century Gothic"/>
          <w:sz w:val="24"/>
          <w:szCs w:val="24"/>
        </w:rPr>
        <w:t xml:space="preserve"> une relation plus étroite et régulière entre les membres.</w:t>
      </w:r>
    </w:p>
    <w:p w14:paraId="6FFD9788" w14:textId="4BF023EE" w:rsidR="005C1544" w:rsidRDefault="005C1544" w:rsidP="00CB0046">
      <w:pPr>
        <w:pStyle w:val="Paragraphedeliste"/>
        <w:numPr>
          <w:ilvl w:val="0"/>
          <w:numId w:val="20"/>
        </w:numPr>
        <w:spacing w:after="0" w:line="240" w:lineRule="auto"/>
        <w:ind w:left="851"/>
        <w:contextualSpacing w:val="0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L’association s’est également doté</w:t>
      </w:r>
      <w:r w:rsidR="00386D42">
        <w:rPr>
          <w:rFonts w:ascii="Century Gothic" w:eastAsia="Times New Roman" w:hAnsi="Century Gothic"/>
          <w:sz w:val="24"/>
          <w:szCs w:val="24"/>
        </w:rPr>
        <w:t>e</w:t>
      </w:r>
      <w:r>
        <w:rPr>
          <w:rFonts w:ascii="Century Gothic" w:eastAsia="Times New Roman" w:hAnsi="Century Gothic"/>
          <w:sz w:val="24"/>
          <w:szCs w:val="24"/>
        </w:rPr>
        <w:t xml:space="preserve"> d’un club d</w:t>
      </w:r>
      <w:r w:rsidR="00954B97">
        <w:rPr>
          <w:rFonts w:ascii="Century Gothic" w:eastAsia="Times New Roman" w:hAnsi="Century Gothic"/>
          <w:sz w:val="24"/>
          <w:szCs w:val="24"/>
        </w:rPr>
        <w:t>e consultants</w:t>
      </w:r>
      <w:r>
        <w:rPr>
          <w:rFonts w:ascii="Century Gothic" w:eastAsia="Times New Roman" w:hAnsi="Century Gothic"/>
          <w:sz w:val="24"/>
          <w:szCs w:val="24"/>
        </w:rPr>
        <w:t xml:space="preserve"> de haut niveau couvrant tous les domaines qui intéressent les compagnies. Avec eux, l’</w:t>
      </w:r>
      <w:r w:rsidR="00386D42">
        <w:rPr>
          <w:rFonts w:ascii="Century Gothic" w:eastAsia="Times New Roman" w:hAnsi="Century Gothic"/>
          <w:sz w:val="24"/>
          <w:szCs w:val="24"/>
        </w:rPr>
        <w:t>ATAF</w:t>
      </w:r>
      <w:r>
        <w:rPr>
          <w:rFonts w:ascii="Century Gothic" w:eastAsia="Times New Roman" w:hAnsi="Century Gothic"/>
          <w:sz w:val="24"/>
          <w:szCs w:val="24"/>
        </w:rPr>
        <w:t xml:space="preserve"> organisera des séminaires à destination des compagnies. Ils pourront également dispenser leur</w:t>
      </w:r>
      <w:r w:rsidR="00CB0046">
        <w:rPr>
          <w:rFonts w:ascii="Century Gothic" w:eastAsia="Times New Roman" w:hAnsi="Century Gothic"/>
          <w:sz w:val="24"/>
          <w:szCs w:val="24"/>
        </w:rPr>
        <w:t>s</w:t>
      </w:r>
      <w:r>
        <w:rPr>
          <w:rFonts w:ascii="Century Gothic" w:eastAsia="Times New Roman" w:hAnsi="Century Gothic"/>
          <w:sz w:val="24"/>
          <w:szCs w:val="24"/>
        </w:rPr>
        <w:t xml:space="preserve"> conseil</w:t>
      </w:r>
      <w:r w:rsidR="00CB0046">
        <w:rPr>
          <w:rFonts w:ascii="Century Gothic" w:eastAsia="Times New Roman" w:hAnsi="Century Gothic"/>
          <w:sz w:val="24"/>
          <w:szCs w:val="24"/>
        </w:rPr>
        <w:t>s</w:t>
      </w:r>
      <w:r>
        <w:rPr>
          <w:rFonts w:ascii="Century Gothic" w:eastAsia="Times New Roman" w:hAnsi="Century Gothic"/>
          <w:sz w:val="24"/>
          <w:szCs w:val="24"/>
        </w:rPr>
        <w:t xml:space="preserve"> de manière plus personnalisée aux compagnies membres qui le souhaiteraient.</w:t>
      </w:r>
    </w:p>
    <w:p w14:paraId="2E4AB26D" w14:textId="35C409DF" w:rsidR="00051108" w:rsidRPr="00644159" w:rsidRDefault="005C1544" w:rsidP="0034334B">
      <w:pPr>
        <w:pStyle w:val="Paragraphedeliste"/>
        <w:numPr>
          <w:ilvl w:val="0"/>
          <w:numId w:val="20"/>
        </w:numPr>
        <w:spacing w:after="0" w:line="240" w:lineRule="auto"/>
        <w:ind w:left="851"/>
        <w:contextualSpacing w:val="0"/>
        <w:jc w:val="both"/>
        <w:rPr>
          <w:rFonts w:ascii="Century Gothic" w:eastAsia="Times New Roman" w:hAnsi="Century Gothic"/>
          <w:sz w:val="24"/>
          <w:szCs w:val="24"/>
        </w:rPr>
      </w:pPr>
      <w:r w:rsidRPr="00644159">
        <w:rPr>
          <w:rFonts w:ascii="Century Gothic" w:eastAsia="Times New Roman" w:hAnsi="Century Gothic"/>
          <w:sz w:val="24"/>
          <w:szCs w:val="24"/>
        </w:rPr>
        <w:t>L’association a enfin lancé une étude de faisabilité pour améliorer et faciliter les relations entre compagnies et agences de voyages agréées ATAF. L’objectif serait à la fois de fluidifier les modes de paiement des billet</w:t>
      </w:r>
      <w:r w:rsidR="00386D42">
        <w:rPr>
          <w:rFonts w:ascii="Century Gothic" w:eastAsia="Times New Roman" w:hAnsi="Century Gothic"/>
          <w:sz w:val="24"/>
          <w:szCs w:val="24"/>
        </w:rPr>
        <w:t xml:space="preserve">s </w:t>
      </w:r>
      <w:r w:rsidRPr="00644159">
        <w:rPr>
          <w:rFonts w:ascii="Century Gothic" w:eastAsia="Times New Roman" w:hAnsi="Century Gothic"/>
          <w:sz w:val="24"/>
          <w:szCs w:val="24"/>
        </w:rPr>
        <w:t xml:space="preserve"> émis et d’assurer la bonne fin de la transaction qui accompagne ce paiement.</w:t>
      </w:r>
      <w:r w:rsidR="00644159" w:rsidRPr="00644159">
        <w:rPr>
          <w:rFonts w:ascii="Century Gothic" w:eastAsia="Times New Roman" w:hAnsi="Century Gothic"/>
          <w:sz w:val="24"/>
          <w:szCs w:val="24"/>
        </w:rPr>
        <w:t xml:space="preserve"> </w:t>
      </w:r>
      <w:r w:rsidR="00051108" w:rsidRPr="00644159">
        <w:rPr>
          <w:rFonts w:ascii="Century Gothic" w:eastAsia="Times New Roman" w:hAnsi="Century Gothic"/>
          <w:sz w:val="24"/>
          <w:szCs w:val="24"/>
        </w:rPr>
        <w:t xml:space="preserve">Une première réunion technique avec les compagnies aériennes aura lieu le 7 décembre avec pour objectif </w:t>
      </w:r>
      <w:r w:rsidR="00644159" w:rsidRPr="00644159">
        <w:rPr>
          <w:rFonts w:ascii="Century Gothic" w:eastAsia="Times New Roman" w:hAnsi="Century Gothic"/>
          <w:sz w:val="24"/>
          <w:szCs w:val="24"/>
        </w:rPr>
        <w:t>une mise en œuvre du projet en 2022.</w:t>
      </w:r>
    </w:p>
    <w:p w14:paraId="24750E8D" w14:textId="77777777" w:rsidR="00644159" w:rsidRDefault="00644159" w:rsidP="00644159">
      <w:pPr>
        <w:pStyle w:val="Paragraphedeliste"/>
        <w:spacing w:after="0" w:line="240" w:lineRule="auto"/>
        <w:ind w:left="851"/>
        <w:contextualSpacing w:val="0"/>
        <w:jc w:val="both"/>
        <w:rPr>
          <w:rFonts w:ascii="Century Gothic" w:eastAsia="Times New Roman" w:hAnsi="Century Gothic"/>
          <w:sz w:val="24"/>
          <w:szCs w:val="24"/>
        </w:rPr>
      </w:pPr>
    </w:p>
    <w:p w14:paraId="3A9A1A7C" w14:textId="77777777" w:rsidR="005C1544" w:rsidRDefault="005C1544" w:rsidP="00CB0046">
      <w:pPr>
        <w:spacing w:after="0" w:line="240" w:lineRule="auto"/>
        <w:ind w:left="426"/>
        <w:rPr>
          <w:rFonts w:ascii="Century Gothic" w:hAnsi="Century Gothic"/>
          <w:sz w:val="24"/>
          <w:szCs w:val="24"/>
        </w:rPr>
      </w:pPr>
    </w:p>
    <w:p w14:paraId="44F6E1C9" w14:textId="77777777" w:rsidR="005C1544" w:rsidRDefault="005C1544" w:rsidP="00CB0046">
      <w:pPr>
        <w:spacing w:after="0" w:line="240" w:lineRule="auto"/>
        <w:ind w:left="426"/>
        <w:rPr>
          <w:rFonts w:ascii="Century Gothic" w:hAnsi="Century Gothic"/>
          <w:sz w:val="24"/>
          <w:szCs w:val="24"/>
        </w:rPr>
      </w:pPr>
    </w:p>
    <w:p w14:paraId="76F145FE" w14:textId="371AF8A0" w:rsidR="000901E9" w:rsidRPr="000901E9" w:rsidRDefault="000901E9" w:rsidP="00CB0046">
      <w:pPr>
        <w:widowControl w:val="0"/>
        <w:tabs>
          <w:tab w:val="left" w:pos="1985"/>
          <w:tab w:val="left" w:pos="2268"/>
        </w:tabs>
        <w:spacing w:after="0" w:line="240" w:lineRule="auto"/>
        <w:ind w:left="426" w:firstLine="567"/>
        <w:jc w:val="both"/>
        <w:rPr>
          <w:rFonts w:ascii="Century Gothic" w:hAnsi="Century Gothic"/>
          <w:sz w:val="24"/>
          <w:szCs w:val="24"/>
        </w:rPr>
      </w:pPr>
    </w:p>
    <w:sectPr w:rsidR="000901E9" w:rsidRPr="000901E9" w:rsidSect="000901E9">
      <w:footerReference w:type="default" r:id="rId10"/>
      <w:pgSz w:w="11906" w:h="16838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E983" w14:textId="77777777" w:rsidR="004F3AB8" w:rsidRDefault="004F3AB8" w:rsidP="004F3AB8">
      <w:pPr>
        <w:spacing w:after="0" w:line="240" w:lineRule="auto"/>
      </w:pPr>
      <w:r>
        <w:separator/>
      </w:r>
    </w:p>
  </w:endnote>
  <w:endnote w:type="continuationSeparator" w:id="0">
    <w:p w14:paraId="71D9A787" w14:textId="77777777" w:rsidR="004F3AB8" w:rsidRDefault="004F3AB8" w:rsidP="004F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0597"/>
      <w:docPartObj>
        <w:docPartGallery w:val="Page Numbers (Bottom of Page)"/>
        <w:docPartUnique/>
      </w:docPartObj>
    </w:sdtPr>
    <w:sdtEndPr/>
    <w:sdtContent>
      <w:p w14:paraId="07E901BA" w14:textId="445CDDED" w:rsidR="004F3AB8" w:rsidRDefault="004F3AB8">
        <w:pPr>
          <w:pStyle w:val="Pieddepage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ACB2" w14:textId="77777777" w:rsidR="004F3AB8" w:rsidRDefault="004F3AB8" w:rsidP="004F3AB8">
      <w:pPr>
        <w:spacing w:after="0" w:line="240" w:lineRule="auto"/>
      </w:pPr>
      <w:r>
        <w:separator/>
      </w:r>
    </w:p>
  </w:footnote>
  <w:footnote w:type="continuationSeparator" w:id="0">
    <w:p w14:paraId="776833BB" w14:textId="77777777" w:rsidR="004F3AB8" w:rsidRDefault="004F3AB8" w:rsidP="004F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851"/>
    <w:multiLevelType w:val="hybridMultilevel"/>
    <w:tmpl w:val="0C0438A8"/>
    <w:lvl w:ilvl="0" w:tplc="6DACE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55F"/>
    <w:multiLevelType w:val="hybridMultilevel"/>
    <w:tmpl w:val="0BB6A7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32A3E"/>
    <w:multiLevelType w:val="hybridMultilevel"/>
    <w:tmpl w:val="A28EAA42"/>
    <w:lvl w:ilvl="0" w:tplc="040C0001">
      <w:start w:val="1"/>
      <w:numFmt w:val="bullet"/>
      <w:lvlText w:val=""/>
      <w:lvlJc w:val="left"/>
      <w:pPr>
        <w:ind w:left="1317" w:hanging="75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A92125"/>
    <w:multiLevelType w:val="hybridMultilevel"/>
    <w:tmpl w:val="8B7ED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E3C9F"/>
    <w:multiLevelType w:val="hybridMultilevel"/>
    <w:tmpl w:val="E1647F1C"/>
    <w:lvl w:ilvl="0" w:tplc="04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AC62120"/>
    <w:multiLevelType w:val="hybridMultilevel"/>
    <w:tmpl w:val="2612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B5D91"/>
    <w:multiLevelType w:val="hybridMultilevel"/>
    <w:tmpl w:val="79CE6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32"/>
    <w:multiLevelType w:val="hybridMultilevel"/>
    <w:tmpl w:val="E72E53B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542429"/>
    <w:multiLevelType w:val="hybridMultilevel"/>
    <w:tmpl w:val="E3060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1904"/>
    <w:multiLevelType w:val="hybridMultilevel"/>
    <w:tmpl w:val="1652BF94"/>
    <w:lvl w:ilvl="0" w:tplc="DC960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C44"/>
    <w:multiLevelType w:val="hybridMultilevel"/>
    <w:tmpl w:val="8266F1E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E1A8D"/>
    <w:multiLevelType w:val="hybridMultilevel"/>
    <w:tmpl w:val="CCE04F76"/>
    <w:lvl w:ilvl="0" w:tplc="69DE0594">
      <w:start w:val="1"/>
      <w:numFmt w:val="bullet"/>
      <w:lvlText w:val="−"/>
      <w:lvlJc w:val="left"/>
      <w:pPr>
        <w:ind w:left="1485" w:hanging="360"/>
      </w:pPr>
      <w:rPr>
        <w:rFonts w:ascii="Century Gothic" w:hAnsi="Century Goth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41F7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58D043B"/>
    <w:multiLevelType w:val="hybridMultilevel"/>
    <w:tmpl w:val="C9460D8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FB59D7"/>
    <w:multiLevelType w:val="hybridMultilevel"/>
    <w:tmpl w:val="A6FE0E1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2958DE"/>
    <w:multiLevelType w:val="hybridMultilevel"/>
    <w:tmpl w:val="D7A459BE"/>
    <w:lvl w:ilvl="0" w:tplc="1A687AC2">
      <w:start w:val="1"/>
      <w:numFmt w:val="decimal"/>
      <w:lvlText w:val="%1."/>
      <w:lvlJc w:val="left"/>
      <w:pPr>
        <w:ind w:left="720" w:hanging="360"/>
      </w:pPr>
      <w:rPr>
        <w:b/>
        <w:bCs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C5F42"/>
    <w:multiLevelType w:val="hybridMultilevel"/>
    <w:tmpl w:val="6F50B16E"/>
    <w:lvl w:ilvl="0" w:tplc="5D9CB36A">
      <w:numFmt w:val="bullet"/>
      <w:lvlText w:val="-"/>
      <w:lvlJc w:val="left"/>
      <w:pPr>
        <w:ind w:left="1317" w:hanging="75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A093967"/>
    <w:multiLevelType w:val="hybridMultilevel"/>
    <w:tmpl w:val="D7A459BE"/>
    <w:lvl w:ilvl="0" w:tplc="1A687AC2">
      <w:start w:val="1"/>
      <w:numFmt w:val="decimal"/>
      <w:lvlText w:val="%1."/>
      <w:lvlJc w:val="left"/>
      <w:pPr>
        <w:ind w:left="720" w:hanging="360"/>
      </w:pPr>
      <w:rPr>
        <w:b/>
        <w:bCs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27280"/>
    <w:multiLevelType w:val="multilevel"/>
    <w:tmpl w:val="C97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F21D0"/>
    <w:multiLevelType w:val="hybridMultilevel"/>
    <w:tmpl w:val="A01E30C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7C0D19"/>
    <w:multiLevelType w:val="hybridMultilevel"/>
    <w:tmpl w:val="BE901160"/>
    <w:lvl w:ilvl="0" w:tplc="FE4E9B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8"/>
  </w:num>
  <w:num w:numId="11">
    <w:abstractNumId w:val="17"/>
  </w:num>
  <w:num w:numId="12">
    <w:abstractNumId w:val="15"/>
  </w:num>
  <w:num w:numId="13">
    <w:abstractNumId w:val="7"/>
  </w:num>
  <w:num w:numId="14">
    <w:abstractNumId w:val="5"/>
  </w:num>
  <w:num w:numId="15">
    <w:abstractNumId w:val="19"/>
  </w:num>
  <w:num w:numId="16">
    <w:abstractNumId w:val="16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7F"/>
    <w:rsid w:val="000102E9"/>
    <w:rsid w:val="00012571"/>
    <w:rsid w:val="00021756"/>
    <w:rsid w:val="00051108"/>
    <w:rsid w:val="000901E9"/>
    <w:rsid w:val="000A3A7F"/>
    <w:rsid w:val="000B1D7E"/>
    <w:rsid w:val="000C1600"/>
    <w:rsid w:val="000F6728"/>
    <w:rsid w:val="000F6EB8"/>
    <w:rsid w:val="001104E2"/>
    <w:rsid w:val="00112C75"/>
    <w:rsid w:val="0011555A"/>
    <w:rsid w:val="00131C99"/>
    <w:rsid w:val="00140A21"/>
    <w:rsid w:val="001418A1"/>
    <w:rsid w:val="001724E1"/>
    <w:rsid w:val="00191D30"/>
    <w:rsid w:val="001A3B8D"/>
    <w:rsid w:val="001B2829"/>
    <w:rsid w:val="001C787E"/>
    <w:rsid w:val="001D04AB"/>
    <w:rsid w:val="001D14EE"/>
    <w:rsid w:val="001F7305"/>
    <w:rsid w:val="00235FE8"/>
    <w:rsid w:val="00250FFF"/>
    <w:rsid w:val="0026157A"/>
    <w:rsid w:val="002B136D"/>
    <w:rsid w:val="002B5AFD"/>
    <w:rsid w:val="002B794C"/>
    <w:rsid w:val="002E4D75"/>
    <w:rsid w:val="002E5217"/>
    <w:rsid w:val="002E6CEF"/>
    <w:rsid w:val="00322313"/>
    <w:rsid w:val="00325E7F"/>
    <w:rsid w:val="00367F18"/>
    <w:rsid w:val="00386D42"/>
    <w:rsid w:val="00390363"/>
    <w:rsid w:val="003B4FCA"/>
    <w:rsid w:val="003D5889"/>
    <w:rsid w:val="00410054"/>
    <w:rsid w:val="00446B05"/>
    <w:rsid w:val="004812A7"/>
    <w:rsid w:val="00481BB7"/>
    <w:rsid w:val="0048242C"/>
    <w:rsid w:val="00485CE1"/>
    <w:rsid w:val="00491A43"/>
    <w:rsid w:val="004A558C"/>
    <w:rsid w:val="004C2CA4"/>
    <w:rsid w:val="004F3AB8"/>
    <w:rsid w:val="00514A20"/>
    <w:rsid w:val="0052146A"/>
    <w:rsid w:val="00541DD0"/>
    <w:rsid w:val="00554623"/>
    <w:rsid w:val="00577379"/>
    <w:rsid w:val="005C1544"/>
    <w:rsid w:val="00615DDC"/>
    <w:rsid w:val="00644159"/>
    <w:rsid w:val="00645676"/>
    <w:rsid w:val="0065079F"/>
    <w:rsid w:val="006636B5"/>
    <w:rsid w:val="00695331"/>
    <w:rsid w:val="006D6B5F"/>
    <w:rsid w:val="006F2574"/>
    <w:rsid w:val="006F48B1"/>
    <w:rsid w:val="00732489"/>
    <w:rsid w:val="007610D5"/>
    <w:rsid w:val="00767794"/>
    <w:rsid w:val="007A1047"/>
    <w:rsid w:val="007C7F96"/>
    <w:rsid w:val="007E2584"/>
    <w:rsid w:val="007E46EC"/>
    <w:rsid w:val="00816E59"/>
    <w:rsid w:val="008315E5"/>
    <w:rsid w:val="00833AA0"/>
    <w:rsid w:val="00835DF9"/>
    <w:rsid w:val="0085660D"/>
    <w:rsid w:val="00862454"/>
    <w:rsid w:val="00864747"/>
    <w:rsid w:val="00881FF5"/>
    <w:rsid w:val="008D2985"/>
    <w:rsid w:val="008E45F3"/>
    <w:rsid w:val="00912A3A"/>
    <w:rsid w:val="00917D11"/>
    <w:rsid w:val="00950641"/>
    <w:rsid w:val="00954B97"/>
    <w:rsid w:val="00983F29"/>
    <w:rsid w:val="009849A8"/>
    <w:rsid w:val="009B7260"/>
    <w:rsid w:val="009B7FE9"/>
    <w:rsid w:val="009C577C"/>
    <w:rsid w:val="009F4120"/>
    <w:rsid w:val="00A00A16"/>
    <w:rsid w:val="00A52E2E"/>
    <w:rsid w:val="00A60005"/>
    <w:rsid w:val="00A9494B"/>
    <w:rsid w:val="00AA65CE"/>
    <w:rsid w:val="00AC02C0"/>
    <w:rsid w:val="00AD05F7"/>
    <w:rsid w:val="00AD2E47"/>
    <w:rsid w:val="00AD3EA8"/>
    <w:rsid w:val="00AD770D"/>
    <w:rsid w:val="00B21F34"/>
    <w:rsid w:val="00B40281"/>
    <w:rsid w:val="00B41BDE"/>
    <w:rsid w:val="00B609A3"/>
    <w:rsid w:val="00B70B09"/>
    <w:rsid w:val="00B90C62"/>
    <w:rsid w:val="00BA131D"/>
    <w:rsid w:val="00BD5756"/>
    <w:rsid w:val="00BE0FC6"/>
    <w:rsid w:val="00BE3DBD"/>
    <w:rsid w:val="00C27368"/>
    <w:rsid w:val="00CB0046"/>
    <w:rsid w:val="00CE3CC6"/>
    <w:rsid w:val="00D03A66"/>
    <w:rsid w:val="00D26732"/>
    <w:rsid w:val="00D40000"/>
    <w:rsid w:val="00D6085D"/>
    <w:rsid w:val="00D679A4"/>
    <w:rsid w:val="00DA2847"/>
    <w:rsid w:val="00DC066C"/>
    <w:rsid w:val="00DF64CA"/>
    <w:rsid w:val="00E10630"/>
    <w:rsid w:val="00E17A95"/>
    <w:rsid w:val="00E22CF2"/>
    <w:rsid w:val="00E57E7B"/>
    <w:rsid w:val="00EB48D9"/>
    <w:rsid w:val="00EB4FC9"/>
    <w:rsid w:val="00EF034F"/>
    <w:rsid w:val="00F20D69"/>
    <w:rsid w:val="00F26F92"/>
    <w:rsid w:val="00F342B0"/>
    <w:rsid w:val="00F81DE3"/>
    <w:rsid w:val="00F948B8"/>
    <w:rsid w:val="00FB072B"/>
    <w:rsid w:val="00FB712D"/>
    <w:rsid w:val="00FC4A44"/>
    <w:rsid w:val="00FD261D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264BE6"/>
  <w15:docId w15:val="{094E439B-153A-4AA2-8992-5706625E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E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AB8"/>
  </w:style>
  <w:style w:type="paragraph" w:styleId="Pieddepage">
    <w:name w:val="footer"/>
    <w:basedOn w:val="Normal"/>
    <w:link w:val="PieddepageCar"/>
    <w:uiPriority w:val="99"/>
    <w:unhideWhenUsed/>
    <w:rsid w:val="004F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AB8"/>
  </w:style>
  <w:style w:type="paragraph" w:styleId="Textebrut">
    <w:name w:val="Plain Text"/>
    <w:basedOn w:val="Normal"/>
    <w:link w:val="TextebrutCar"/>
    <w:uiPriority w:val="99"/>
    <w:unhideWhenUsed/>
    <w:rsid w:val="00BE3DBD"/>
    <w:pPr>
      <w:spacing w:after="0" w:line="240" w:lineRule="auto"/>
    </w:pPr>
    <w:rPr>
      <w:rFonts w:ascii="Century Gothic" w:hAnsi="Century Gothic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E3DBD"/>
    <w:rPr>
      <w:rFonts w:ascii="Century Gothic" w:hAnsi="Century Gothic"/>
      <w:sz w:val="24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0901E9"/>
    <w:rPr>
      <w:color w:val="0563C1"/>
      <w:u w:val="single"/>
    </w:rPr>
  </w:style>
  <w:style w:type="paragraph" w:styleId="Notedebasdepage">
    <w:name w:val="footnote text"/>
    <w:basedOn w:val="Normal"/>
    <w:link w:val="NotedebasdepageCar"/>
    <w:rsid w:val="0009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0901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090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5.png@01D7531A.C30AF7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0B66-2AE1-45EF-B269-114AD426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du Trésorier AG.ATAF NCE OCT21</vt:lpstr>
    </vt:vector>
  </TitlesOfParts>
  <Company>SERVAIR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du Trésorier AG.ATAF NCE OCT21</dc:title>
  <dc:creator>DUPERRIN Bruno</dc:creator>
  <cp:lastModifiedBy>Sonia VALLON</cp:lastModifiedBy>
  <cp:revision>9</cp:revision>
  <cp:lastPrinted>2021-11-16T10:15:00Z</cp:lastPrinted>
  <dcterms:created xsi:type="dcterms:W3CDTF">2021-11-09T11:01:00Z</dcterms:created>
  <dcterms:modified xsi:type="dcterms:W3CDTF">2021-11-18T13:54:00Z</dcterms:modified>
</cp:coreProperties>
</file>